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668" w:rsidRDefault="00627668" w:rsidP="00627668">
      <w:pPr>
        <w:pStyle w:val="NormalWeb"/>
        <w:jc w:val="both"/>
        <w:rPr>
          <w:rFonts w:ascii="Verdana" w:hAnsi="Verdana" w:cs="Arial"/>
          <w:b/>
          <w:color w:val="548DD4" w:themeColor="text2" w:themeTint="99"/>
          <w:sz w:val="28"/>
          <w:szCs w:val="28"/>
        </w:rPr>
      </w:pPr>
      <w:r w:rsidRPr="00396163">
        <w:rPr>
          <w:rFonts w:ascii="Verdana" w:hAnsi="Verdana" w:cs="Arial"/>
          <w:b/>
          <w:color w:val="548DD4" w:themeColor="text2" w:themeTint="99"/>
          <w:sz w:val="28"/>
          <w:szCs w:val="28"/>
        </w:rPr>
        <w:t>POLÍTICAS DEL INVENTARIO</w:t>
      </w:r>
    </w:p>
    <w:p w:rsidR="00627668" w:rsidRPr="00791216" w:rsidRDefault="00627668" w:rsidP="00627668">
      <w:pPr>
        <w:pStyle w:val="NormalWeb"/>
        <w:jc w:val="both"/>
        <w:rPr>
          <w:rFonts w:ascii="Verdana" w:hAnsi="Verdana" w:cs="Arial"/>
          <w:sz w:val="22"/>
          <w:szCs w:val="22"/>
        </w:rPr>
      </w:pPr>
      <w:r w:rsidRPr="00791216">
        <w:rPr>
          <w:rFonts w:ascii="Verdana" w:hAnsi="Verdana" w:cs="Arial"/>
          <w:sz w:val="22"/>
          <w:szCs w:val="22"/>
        </w:rPr>
        <w:t>Las políticas de inventarios deben tener como objetivo elevar al máximo el rendimiento sobre la inversión, satisfaciendo las necesidades del mercado.</w:t>
      </w:r>
    </w:p>
    <w:p w:rsidR="00627668" w:rsidRPr="00791216" w:rsidRDefault="00627668" w:rsidP="00627668">
      <w:pPr>
        <w:pStyle w:val="NormalWeb"/>
        <w:jc w:val="both"/>
        <w:rPr>
          <w:rFonts w:ascii="Verdana" w:hAnsi="Verdana" w:cs="Arial"/>
          <w:sz w:val="22"/>
          <w:szCs w:val="22"/>
        </w:rPr>
      </w:pPr>
      <w:r w:rsidRPr="00791216">
        <w:rPr>
          <w:rFonts w:ascii="Verdana" w:hAnsi="Verdana" w:cs="Arial"/>
          <w:sz w:val="22"/>
          <w:szCs w:val="22"/>
        </w:rPr>
        <w:t>La adquisición de inventarios conlleva un costo de mantenimiento del inventario, un costo por compra y otros costos que serán tratados en las secciones siguientes.</w:t>
      </w:r>
    </w:p>
    <w:p w:rsidR="00627668" w:rsidRPr="00396163" w:rsidRDefault="00627668" w:rsidP="00627668">
      <w:pPr>
        <w:spacing w:after="0" w:line="240" w:lineRule="auto"/>
        <w:jc w:val="both"/>
        <w:rPr>
          <w:rFonts w:ascii="Verdana" w:eastAsia="Times New Roman" w:hAnsi="Verdana" w:cs="Times New Roman"/>
          <w:lang w:eastAsia="es-CO"/>
        </w:rPr>
      </w:pPr>
      <w:r w:rsidRPr="00396163">
        <w:rPr>
          <w:rFonts w:ascii="Verdana" w:eastAsia="Times New Roman" w:hAnsi="Verdana" w:cs="Times New Roman"/>
          <w:lang w:eastAsia="es-CO"/>
        </w:rPr>
        <w:t xml:space="preserve">Las políticas </w:t>
      </w:r>
      <w:r>
        <w:rPr>
          <w:rFonts w:ascii="Verdana" w:eastAsia="Times New Roman" w:hAnsi="Verdana" w:cs="Times New Roman"/>
          <w:lang w:eastAsia="es-CO"/>
        </w:rPr>
        <w:t>de inventario de nuestra</w:t>
      </w:r>
      <w:r w:rsidRPr="00396163">
        <w:rPr>
          <w:rFonts w:ascii="Verdana" w:eastAsia="Times New Roman" w:hAnsi="Verdana" w:cs="Times New Roman"/>
          <w:lang w:eastAsia="es-CO"/>
        </w:rPr>
        <w:t xml:space="preserve"> bodega se determinan teniendo en cuenta los costos, tiempos, trayectos, espacio, demanda y financiación que nuestros productos pueden tener en el mercado nacional.</w:t>
      </w:r>
    </w:p>
    <w:p w:rsidR="00627668" w:rsidRPr="00396163" w:rsidRDefault="00627668" w:rsidP="00627668">
      <w:pPr>
        <w:spacing w:after="0" w:line="240" w:lineRule="auto"/>
        <w:jc w:val="both"/>
        <w:rPr>
          <w:rFonts w:ascii="Verdana" w:eastAsia="Times New Roman" w:hAnsi="Verdana" w:cs="Times New Roman"/>
          <w:lang w:eastAsia="es-CO"/>
        </w:rPr>
      </w:pPr>
    </w:p>
    <w:p w:rsidR="00627668" w:rsidRPr="00396163" w:rsidRDefault="00627668" w:rsidP="00627668">
      <w:pPr>
        <w:spacing w:after="0" w:line="240" w:lineRule="auto"/>
        <w:jc w:val="both"/>
        <w:rPr>
          <w:rFonts w:ascii="Verdana" w:eastAsia="Times New Roman" w:hAnsi="Verdana" w:cstheme="minorHAnsi"/>
          <w:lang w:eastAsia="es-CO"/>
        </w:rPr>
      </w:pPr>
      <w:r w:rsidRPr="00396163">
        <w:rPr>
          <w:rFonts w:ascii="Verdana" w:eastAsia="Times New Roman" w:hAnsi="Verdana" w:cs="Times New Roman"/>
          <w:lang w:eastAsia="es-CO"/>
        </w:rPr>
        <w:br/>
      </w:r>
      <w:r w:rsidRPr="00396163">
        <w:rPr>
          <w:rFonts w:ascii="Verdana" w:eastAsia="Times New Roman" w:hAnsi="Verdana" w:cstheme="minorHAnsi"/>
          <w:lang w:eastAsia="es-CO"/>
        </w:rPr>
        <w:t>1. Las cantidades necesarias para satisfacer las necesidades de ventas.</w:t>
      </w:r>
    </w:p>
    <w:p w:rsidR="00627668" w:rsidRPr="00396163" w:rsidRDefault="00627668" w:rsidP="00627668">
      <w:pPr>
        <w:spacing w:after="0" w:line="240" w:lineRule="auto"/>
        <w:jc w:val="both"/>
        <w:rPr>
          <w:rFonts w:ascii="Verdana" w:eastAsia="Times New Roman" w:hAnsi="Verdana" w:cstheme="minorHAnsi"/>
          <w:lang w:eastAsia="es-CO"/>
        </w:rPr>
      </w:pPr>
    </w:p>
    <w:p w:rsidR="00627668" w:rsidRPr="00396163" w:rsidRDefault="00627668" w:rsidP="00627668">
      <w:pPr>
        <w:spacing w:after="0" w:line="240" w:lineRule="auto"/>
        <w:jc w:val="both"/>
        <w:rPr>
          <w:rFonts w:ascii="Verdana" w:eastAsia="Times New Roman" w:hAnsi="Verdana" w:cstheme="minorHAnsi"/>
          <w:lang w:eastAsia="es-CO"/>
        </w:rPr>
      </w:pPr>
      <w:r w:rsidRPr="00396163">
        <w:rPr>
          <w:rFonts w:ascii="Verdana" w:eastAsia="Times New Roman" w:hAnsi="Verdana" w:cstheme="minorHAnsi"/>
          <w:lang w:eastAsia="es-CO"/>
        </w:rPr>
        <w:t xml:space="preserve">Para satisfacer las necesidades de nuestros clientes y de las ventas se trabajara con un máximo de inventario en bodega del </w:t>
      </w:r>
      <w:r>
        <w:rPr>
          <w:rFonts w:ascii="Verdana" w:eastAsia="Times New Roman" w:hAnsi="Verdana" w:cstheme="minorHAnsi"/>
          <w:lang w:eastAsia="es-CO"/>
        </w:rPr>
        <w:t>75</w:t>
      </w:r>
      <w:r w:rsidRPr="00396163">
        <w:rPr>
          <w:rFonts w:ascii="Verdana" w:eastAsia="Times New Roman" w:hAnsi="Verdana" w:cstheme="minorHAnsi"/>
          <w:lang w:eastAsia="es-CO"/>
        </w:rPr>
        <w:t>% del inventario inicial</w:t>
      </w:r>
      <w:r>
        <w:rPr>
          <w:rFonts w:ascii="Verdana" w:eastAsia="Times New Roman" w:hAnsi="Verdana" w:cstheme="minorHAnsi"/>
          <w:lang w:eastAsia="es-CO"/>
        </w:rPr>
        <w:t>, 25% en transito</w:t>
      </w:r>
      <w:r w:rsidRPr="00396163">
        <w:rPr>
          <w:rFonts w:ascii="Verdana" w:eastAsia="Times New Roman" w:hAnsi="Verdana" w:cstheme="minorHAnsi"/>
          <w:lang w:eastAsia="es-CO"/>
        </w:rPr>
        <w:t xml:space="preserve"> y un inventario de seguridad dependiendo del producto de un 5% al 30% máximo. Es decir que se tiene pronosticado tener un 70% mínimo de inventario en rotación.</w:t>
      </w:r>
    </w:p>
    <w:p w:rsidR="00627668" w:rsidRPr="00396163" w:rsidRDefault="00627668" w:rsidP="00627668">
      <w:pPr>
        <w:spacing w:after="0" w:line="240" w:lineRule="auto"/>
        <w:jc w:val="both"/>
        <w:rPr>
          <w:rFonts w:ascii="Verdana" w:eastAsia="Times New Roman" w:hAnsi="Verdana" w:cstheme="minorHAnsi"/>
          <w:lang w:eastAsia="es-CO"/>
        </w:rPr>
      </w:pPr>
    </w:p>
    <w:p w:rsidR="00627668" w:rsidRPr="00396163" w:rsidRDefault="00627668" w:rsidP="00627668">
      <w:pPr>
        <w:spacing w:after="0" w:line="240" w:lineRule="auto"/>
        <w:jc w:val="both"/>
        <w:rPr>
          <w:rFonts w:ascii="Verdana" w:eastAsia="Times New Roman" w:hAnsi="Verdana" w:cstheme="minorHAnsi"/>
          <w:lang w:eastAsia="es-CO"/>
        </w:rPr>
      </w:pPr>
    </w:p>
    <w:p w:rsidR="00627668" w:rsidRPr="00396163" w:rsidRDefault="00627668" w:rsidP="00627668">
      <w:pPr>
        <w:spacing w:after="0" w:line="240" w:lineRule="auto"/>
        <w:jc w:val="both"/>
        <w:rPr>
          <w:rFonts w:ascii="Verdana" w:eastAsia="Times New Roman" w:hAnsi="Verdana" w:cstheme="minorHAnsi"/>
          <w:lang w:eastAsia="es-CO"/>
        </w:rPr>
      </w:pPr>
      <w:r w:rsidRPr="00396163">
        <w:rPr>
          <w:rFonts w:ascii="Verdana" w:eastAsia="Times New Roman" w:hAnsi="Verdana" w:cstheme="minorHAnsi"/>
          <w:lang w:eastAsia="es-CO"/>
        </w:rPr>
        <w:t>2. La naturaleza perecedera de los artículos</w:t>
      </w:r>
    </w:p>
    <w:p w:rsidR="00627668" w:rsidRPr="00396163" w:rsidRDefault="00627668" w:rsidP="00627668">
      <w:pPr>
        <w:spacing w:after="0" w:line="240" w:lineRule="auto"/>
        <w:jc w:val="both"/>
        <w:rPr>
          <w:rFonts w:ascii="Verdana" w:eastAsia="Times New Roman" w:hAnsi="Verdana" w:cstheme="minorHAnsi"/>
          <w:lang w:eastAsia="es-CO"/>
        </w:rPr>
      </w:pPr>
    </w:p>
    <w:p w:rsidR="00627668" w:rsidRPr="00396163" w:rsidRDefault="00627668" w:rsidP="00627668">
      <w:pPr>
        <w:spacing w:after="0" w:line="240" w:lineRule="auto"/>
        <w:jc w:val="both"/>
        <w:rPr>
          <w:rFonts w:ascii="Verdana" w:eastAsia="Times New Roman" w:hAnsi="Verdana" w:cstheme="minorHAnsi"/>
          <w:lang w:eastAsia="es-CO"/>
        </w:rPr>
      </w:pPr>
      <w:r w:rsidRPr="00396163">
        <w:rPr>
          <w:rFonts w:ascii="Verdana" w:eastAsia="Times New Roman" w:hAnsi="Verdana" w:cstheme="minorHAnsi"/>
          <w:lang w:eastAsia="es-CO"/>
        </w:rPr>
        <w:t>Como no se manejan productos perecederos, no tendríamos tiempos de vencimiento de lotes; pero si se manejara tiempos de cambio de colección los cuales se establecen cada 6 meses dependiendo de la acogida de cada colección.</w:t>
      </w:r>
    </w:p>
    <w:p w:rsidR="00627668" w:rsidRPr="00396163" w:rsidRDefault="00627668" w:rsidP="00627668">
      <w:pPr>
        <w:spacing w:after="0" w:line="240" w:lineRule="auto"/>
        <w:jc w:val="both"/>
        <w:rPr>
          <w:rFonts w:ascii="Verdana" w:eastAsia="Times New Roman" w:hAnsi="Verdana" w:cstheme="minorHAnsi"/>
          <w:lang w:eastAsia="es-CO"/>
        </w:rPr>
      </w:pPr>
    </w:p>
    <w:p w:rsidR="00627668" w:rsidRPr="00396163" w:rsidRDefault="00627668" w:rsidP="00627668">
      <w:pPr>
        <w:spacing w:after="0" w:line="240" w:lineRule="auto"/>
        <w:jc w:val="both"/>
        <w:rPr>
          <w:rFonts w:ascii="Verdana" w:eastAsia="Times New Roman" w:hAnsi="Verdana" w:cstheme="minorHAnsi"/>
          <w:lang w:eastAsia="es-CO"/>
        </w:rPr>
      </w:pPr>
      <w:r w:rsidRPr="00396163">
        <w:rPr>
          <w:rFonts w:ascii="Verdana" w:eastAsia="Times New Roman" w:hAnsi="Verdana" w:cstheme="minorHAnsi"/>
          <w:lang w:eastAsia="es-CO"/>
        </w:rPr>
        <w:br/>
        <w:t>3. La duración del periodo de producción.</w:t>
      </w:r>
    </w:p>
    <w:p w:rsidR="00627668" w:rsidRPr="00396163" w:rsidRDefault="00627668" w:rsidP="00627668">
      <w:pPr>
        <w:spacing w:after="0" w:line="240" w:lineRule="auto"/>
        <w:jc w:val="both"/>
        <w:rPr>
          <w:rFonts w:ascii="Verdana" w:eastAsia="Times New Roman" w:hAnsi="Verdana" w:cstheme="minorHAnsi"/>
          <w:lang w:eastAsia="es-CO"/>
        </w:rPr>
      </w:pPr>
    </w:p>
    <w:p w:rsidR="00627668" w:rsidRPr="00396163" w:rsidRDefault="00627668" w:rsidP="00627668">
      <w:pPr>
        <w:spacing w:after="0" w:line="240" w:lineRule="auto"/>
        <w:jc w:val="both"/>
        <w:rPr>
          <w:rFonts w:ascii="Verdana" w:eastAsia="Times New Roman" w:hAnsi="Verdana" w:cstheme="minorHAnsi"/>
          <w:lang w:eastAsia="es-CO"/>
        </w:rPr>
      </w:pPr>
      <w:r w:rsidRPr="00396163">
        <w:rPr>
          <w:rFonts w:ascii="Verdana" w:eastAsia="Times New Roman" w:hAnsi="Verdana" w:cstheme="minorHAnsi"/>
          <w:lang w:eastAsia="es-CO"/>
        </w:rPr>
        <w:t xml:space="preserve">Por no ser una empresa productora sino comercializadora contamos con periodos de compra al exterior </w:t>
      </w:r>
      <w:r>
        <w:rPr>
          <w:rFonts w:ascii="Verdana" w:eastAsia="Times New Roman" w:hAnsi="Verdana" w:cstheme="minorHAnsi"/>
          <w:lang w:eastAsia="es-CO"/>
        </w:rPr>
        <w:t>de</w:t>
      </w:r>
      <w:r w:rsidRPr="00396163">
        <w:rPr>
          <w:rFonts w:ascii="Verdana" w:eastAsia="Times New Roman" w:hAnsi="Verdana" w:cstheme="minorHAnsi"/>
          <w:lang w:eastAsia="es-CO"/>
        </w:rPr>
        <w:t xml:space="preserve"> 60 </w:t>
      </w:r>
      <w:proofErr w:type="spellStart"/>
      <w:r w:rsidRPr="00396163">
        <w:rPr>
          <w:rFonts w:ascii="Verdana" w:eastAsia="Times New Roman" w:hAnsi="Verdana" w:cstheme="minorHAnsi"/>
          <w:lang w:eastAsia="es-CO"/>
        </w:rPr>
        <w:t>dias</w:t>
      </w:r>
      <w:proofErr w:type="spellEnd"/>
      <w:r w:rsidRPr="00396163">
        <w:rPr>
          <w:rFonts w:ascii="Verdana" w:eastAsia="Times New Roman" w:hAnsi="Verdana" w:cstheme="minorHAnsi"/>
          <w:lang w:eastAsia="es-CO"/>
        </w:rPr>
        <w:t xml:space="preserve"> dependiendo del producto. Teniendo en cuenta que este periodo corre desde la puesta en firme de la orden de pedido al exterior hasta la llegada a nuestra bodega para venta y distribución.</w:t>
      </w:r>
    </w:p>
    <w:p w:rsidR="00627668" w:rsidRPr="00396163" w:rsidRDefault="00627668" w:rsidP="00627668">
      <w:pPr>
        <w:spacing w:after="0" w:line="240" w:lineRule="auto"/>
        <w:jc w:val="both"/>
        <w:rPr>
          <w:rFonts w:ascii="Verdana" w:eastAsia="Times New Roman" w:hAnsi="Verdana" w:cstheme="minorHAnsi"/>
          <w:lang w:eastAsia="es-CO"/>
        </w:rPr>
      </w:pPr>
    </w:p>
    <w:p w:rsidR="00627668" w:rsidRPr="00396163" w:rsidRDefault="00627668" w:rsidP="00627668">
      <w:pPr>
        <w:spacing w:after="0" w:line="240" w:lineRule="auto"/>
        <w:jc w:val="both"/>
        <w:rPr>
          <w:rFonts w:ascii="Verdana" w:eastAsia="Times New Roman" w:hAnsi="Verdana" w:cstheme="minorHAnsi"/>
          <w:lang w:eastAsia="es-CO"/>
        </w:rPr>
      </w:pPr>
      <w:r w:rsidRPr="00396163">
        <w:rPr>
          <w:rFonts w:ascii="Verdana" w:eastAsia="Times New Roman" w:hAnsi="Verdana" w:cstheme="minorHAnsi"/>
          <w:lang w:eastAsia="es-CO"/>
        </w:rPr>
        <w:t xml:space="preserve">Las </w:t>
      </w:r>
      <w:proofErr w:type="gramStart"/>
      <w:r w:rsidRPr="00396163">
        <w:rPr>
          <w:rFonts w:ascii="Verdana" w:eastAsia="Times New Roman" w:hAnsi="Verdana" w:cstheme="minorHAnsi"/>
          <w:lang w:eastAsia="es-CO"/>
        </w:rPr>
        <w:t>ordenes</w:t>
      </w:r>
      <w:proofErr w:type="gramEnd"/>
      <w:r w:rsidRPr="00396163">
        <w:rPr>
          <w:rFonts w:ascii="Verdana" w:eastAsia="Times New Roman" w:hAnsi="Verdana" w:cstheme="minorHAnsi"/>
          <w:lang w:eastAsia="es-CO"/>
        </w:rPr>
        <w:t xml:space="preserve"> de compra se realizaran cada 15 días teniendo en cuenta las ventas de este mismo periodo.</w:t>
      </w:r>
    </w:p>
    <w:p w:rsidR="00627668" w:rsidRPr="00396163" w:rsidRDefault="00627668" w:rsidP="00627668">
      <w:pPr>
        <w:spacing w:after="0" w:line="240" w:lineRule="auto"/>
        <w:jc w:val="both"/>
        <w:rPr>
          <w:rFonts w:ascii="Verdana" w:eastAsia="Times New Roman" w:hAnsi="Verdana" w:cstheme="minorHAnsi"/>
          <w:lang w:eastAsia="es-CO"/>
        </w:rPr>
      </w:pPr>
    </w:p>
    <w:p w:rsidR="00627668" w:rsidRDefault="00627668" w:rsidP="00627668">
      <w:pPr>
        <w:spacing w:after="0" w:line="240" w:lineRule="auto"/>
        <w:jc w:val="both"/>
        <w:rPr>
          <w:rFonts w:ascii="Verdana" w:eastAsia="Times New Roman" w:hAnsi="Verdana" w:cstheme="minorHAnsi"/>
          <w:lang w:eastAsia="es-CO"/>
        </w:rPr>
      </w:pPr>
      <w:r w:rsidRPr="005E5814">
        <w:rPr>
          <w:rFonts w:ascii="Verdana" w:eastAsia="Times New Roman" w:hAnsi="Verdana" w:cstheme="minorHAnsi"/>
          <w:lang w:eastAsia="es-CO"/>
        </w:rPr>
        <w:t>4.</w:t>
      </w:r>
      <w:r>
        <w:rPr>
          <w:rFonts w:ascii="Verdana" w:eastAsia="Times New Roman" w:hAnsi="Verdana" w:cstheme="minorHAnsi"/>
          <w:lang w:eastAsia="es-CO"/>
        </w:rPr>
        <w:t xml:space="preserve"> Rotación del Inventario</w:t>
      </w:r>
    </w:p>
    <w:p w:rsidR="00627668" w:rsidRDefault="00627668" w:rsidP="00627668">
      <w:pPr>
        <w:spacing w:after="0" w:line="240" w:lineRule="auto"/>
        <w:jc w:val="both"/>
        <w:rPr>
          <w:rFonts w:ascii="Verdana" w:eastAsia="Times New Roman" w:hAnsi="Verdana" w:cstheme="minorHAnsi"/>
          <w:lang w:eastAsia="es-CO"/>
        </w:rPr>
      </w:pPr>
    </w:p>
    <w:p w:rsidR="00627668" w:rsidRPr="005E5814" w:rsidRDefault="00627668" w:rsidP="00627668">
      <w:pPr>
        <w:spacing w:after="0" w:line="240" w:lineRule="auto"/>
        <w:jc w:val="both"/>
        <w:rPr>
          <w:rFonts w:ascii="Verdana" w:eastAsia="Times New Roman" w:hAnsi="Verdana" w:cstheme="minorHAnsi"/>
          <w:lang w:eastAsia="es-CO"/>
        </w:rPr>
      </w:pPr>
      <w:r>
        <w:rPr>
          <w:rFonts w:ascii="Verdana" w:eastAsia="Times New Roman" w:hAnsi="Verdana" w:cstheme="minorHAnsi"/>
          <w:lang w:eastAsia="es-CO"/>
        </w:rPr>
        <w:t xml:space="preserve">Nuestro almacén tendrá 2 rotaciones de inventario al mes a fin de determinar las cantidades vendidas y </w:t>
      </w:r>
      <w:proofErr w:type="spellStart"/>
      <w:r>
        <w:rPr>
          <w:rFonts w:ascii="Verdana" w:eastAsia="Times New Roman" w:hAnsi="Verdana" w:cstheme="minorHAnsi"/>
          <w:lang w:eastAsia="es-CO"/>
        </w:rPr>
        <w:t>asi</w:t>
      </w:r>
      <w:proofErr w:type="spellEnd"/>
      <w:r>
        <w:rPr>
          <w:rFonts w:ascii="Verdana" w:eastAsia="Times New Roman" w:hAnsi="Verdana" w:cstheme="minorHAnsi"/>
          <w:lang w:eastAsia="es-CO"/>
        </w:rPr>
        <w:t xml:space="preserve"> programar las nuevas ordenes de compra que se realizaran también cada 15 </w:t>
      </w:r>
      <w:proofErr w:type="spellStart"/>
      <w:r>
        <w:rPr>
          <w:rFonts w:ascii="Verdana" w:eastAsia="Times New Roman" w:hAnsi="Verdana" w:cstheme="minorHAnsi"/>
          <w:lang w:eastAsia="es-CO"/>
        </w:rPr>
        <w:t>dias</w:t>
      </w:r>
      <w:proofErr w:type="spellEnd"/>
      <w:r>
        <w:rPr>
          <w:rFonts w:ascii="Verdana" w:eastAsia="Times New Roman" w:hAnsi="Verdana" w:cstheme="minorHAnsi"/>
          <w:lang w:eastAsia="es-CO"/>
        </w:rPr>
        <w:t>.</w:t>
      </w:r>
    </w:p>
    <w:p w:rsidR="00627668" w:rsidRDefault="00627668" w:rsidP="00627668">
      <w:pPr>
        <w:spacing w:after="0" w:line="240" w:lineRule="auto"/>
        <w:jc w:val="both"/>
        <w:rPr>
          <w:rFonts w:ascii="Verdana" w:eastAsia="Times New Roman" w:hAnsi="Verdana" w:cstheme="minorHAnsi"/>
          <w:lang w:eastAsia="es-CO"/>
        </w:rPr>
      </w:pPr>
    </w:p>
    <w:p w:rsidR="00627668" w:rsidRPr="00396163" w:rsidRDefault="00627668" w:rsidP="00627668">
      <w:pPr>
        <w:spacing w:after="0" w:line="240" w:lineRule="auto"/>
        <w:jc w:val="both"/>
        <w:rPr>
          <w:rFonts w:ascii="Verdana" w:eastAsia="Times New Roman" w:hAnsi="Verdana" w:cstheme="minorHAnsi"/>
          <w:lang w:eastAsia="es-CO"/>
        </w:rPr>
      </w:pPr>
    </w:p>
    <w:p w:rsidR="00627668" w:rsidRPr="00396163" w:rsidRDefault="00627668" w:rsidP="00627668">
      <w:pPr>
        <w:spacing w:after="0" w:line="240" w:lineRule="auto"/>
        <w:jc w:val="both"/>
        <w:rPr>
          <w:rFonts w:ascii="Verdana" w:eastAsia="Times New Roman" w:hAnsi="Verdana" w:cstheme="minorHAnsi"/>
          <w:lang w:eastAsia="es-CO"/>
        </w:rPr>
      </w:pPr>
      <w:r>
        <w:rPr>
          <w:rFonts w:ascii="Verdana" w:eastAsia="Times New Roman" w:hAnsi="Verdana" w:cstheme="minorHAnsi"/>
          <w:lang w:eastAsia="es-CO"/>
        </w:rPr>
        <w:lastRenderedPageBreak/>
        <w:t>5</w:t>
      </w:r>
      <w:r w:rsidRPr="00396163">
        <w:rPr>
          <w:rFonts w:ascii="Verdana" w:eastAsia="Times New Roman" w:hAnsi="Verdana" w:cstheme="minorHAnsi"/>
          <w:lang w:eastAsia="es-CO"/>
        </w:rPr>
        <w:t>. La capacidad de almacenamiento</w:t>
      </w:r>
    </w:p>
    <w:p w:rsidR="00627668" w:rsidRPr="00396163" w:rsidRDefault="00627668" w:rsidP="00627668">
      <w:pPr>
        <w:spacing w:after="0" w:line="240" w:lineRule="auto"/>
        <w:jc w:val="both"/>
        <w:rPr>
          <w:rFonts w:ascii="Verdana" w:eastAsia="Times New Roman" w:hAnsi="Verdana" w:cstheme="minorHAnsi"/>
          <w:lang w:eastAsia="es-CO"/>
        </w:rPr>
      </w:pPr>
    </w:p>
    <w:p w:rsidR="00627668" w:rsidRPr="00396163" w:rsidRDefault="00627668" w:rsidP="00627668">
      <w:pPr>
        <w:spacing w:after="0" w:line="240" w:lineRule="auto"/>
        <w:jc w:val="both"/>
        <w:rPr>
          <w:rFonts w:ascii="Verdana" w:eastAsia="Times New Roman" w:hAnsi="Verdana" w:cstheme="minorHAnsi"/>
          <w:lang w:eastAsia="es-CO"/>
        </w:rPr>
      </w:pPr>
      <w:r w:rsidRPr="00396163">
        <w:rPr>
          <w:rFonts w:ascii="Verdana" w:eastAsia="Times New Roman" w:hAnsi="Verdana" w:cstheme="minorHAnsi"/>
          <w:lang w:eastAsia="es-CO"/>
        </w:rPr>
        <w:t xml:space="preserve">Nuestra bodega tiene un área de </w:t>
      </w:r>
      <w:r>
        <w:rPr>
          <w:rFonts w:ascii="Verdana" w:eastAsia="Times New Roman" w:hAnsi="Verdana" w:cstheme="minorHAnsi"/>
          <w:lang w:eastAsia="es-CO"/>
        </w:rPr>
        <w:t>17.218.6</w:t>
      </w:r>
      <w:r w:rsidRPr="00396163">
        <w:rPr>
          <w:rFonts w:ascii="Verdana" w:eastAsia="Times New Roman" w:hAnsi="Verdana" w:cstheme="minorHAnsi"/>
          <w:lang w:eastAsia="es-CO"/>
        </w:rPr>
        <w:t xml:space="preserve">0 m3 aproximadamente; cuenta con una capacidad de almacenamiento para </w:t>
      </w:r>
      <w:r>
        <w:rPr>
          <w:rFonts w:ascii="Verdana" w:eastAsia="Times New Roman" w:hAnsi="Verdana" w:cstheme="minorHAnsi"/>
          <w:lang w:eastAsia="es-CO"/>
        </w:rPr>
        <w:t>5.763</w:t>
      </w:r>
      <w:r w:rsidRPr="00396163">
        <w:rPr>
          <w:rFonts w:ascii="Verdana" w:eastAsia="Times New Roman" w:hAnsi="Verdana" w:cstheme="minorHAnsi"/>
          <w:lang w:eastAsia="es-CO"/>
        </w:rPr>
        <w:t xml:space="preserve"> cajas, </w:t>
      </w:r>
      <w:r>
        <w:rPr>
          <w:rFonts w:ascii="Verdana" w:eastAsia="Times New Roman" w:hAnsi="Verdana" w:cstheme="minorHAnsi"/>
          <w:lang w:eastAsia="es-CO"/>
        </w:rPr>
        <w:t>46.821</w:t>
      </w:r>
      <w:r w:rsidRPr="00396163">
        <w:rPr>
          <w:rFonts w:ascii="Verdana" w:eastAsia="Times New Roman" w:hAnsi="Verdana" w:cstheme="minorHAnsi"/>
          <w:lang w:eastAsia="es-CO"/>
        </w:rPr>
        <w:t xml:space="preserve"> unidades; para lo cual contamos con 5 pasillos, </w:t>
      </w:r>
      <w:r>
        <w:rPr>
          <w:rFonts w:ascii="Verdana" w:eastAsia="Times New Roman" w:hAnsi="Verdana" w:cstheme="minorHAnsi"/>
          <w:lang w:eastAsia="es-CO"/>
        </w:rPr>
        <w:t>6</w:t>
      </w:r>
      <w:r w:rsidRPr="00396163">
        <w:rPr>
          <w:rFonts w:ascii="Verdana" w:eastAsia="Times New Roman" w:hAnsi="Verdana" w:cstheme="minorHAnsi"/>
          <w:lang w:eastAsia="es-CO"/>
        </w:rPr>
        <w:t xml:space="preserve">8 posiciones, </w:t>
      </w:r>
      <w:r>
        <w:rPr>
          <w:rFonts w:ascii="Verdana" w:eastAsia="Times New Roman" w:hAnsi="Verdana" w:cstheme="minorHAnsi"/>
          <w:lang w:eastAsia="es-CO"/>
        </w:rPr>
        <w:t>408</w:t>
      </w:r>
      <w:r w:rsidRPr="00396163">
        <w:rPr>
          <w:rFonts w:ascii="Verdana" w:eastAsia="Times New Roman" w:hAnsi="Verdana" w:cstheme="minorHAnsi"/>
          <w:lang w:eastAsia="es-CO"/>
        </w:rPr>
        <w:t xml:space="preserve"> niveles de almacenamiento.</w:t>
      </w:r>
    </w:p>
    <w:p w:rsidR="00627668" w:rsidRPr="00396163" w:rsidRDefault="00627668" w:rsidP="00627668">
      <w:pPr>
        <w:spacing w:after="0" w:line="240" w:lineRule="auto"/>
        <w:jc w:val="both"/>
        <w:rPr>
          <w:rFonts w:ascii="Verdana" w:eastAsia="Times New Roman" w:hAnsi="Verdana" w:cstheme="minorHAnsi"/>
          <w:lang w:eastAsia="es-CO"/>
        </w:rPr>
      </w:pPr>
    </w:p>
    <w:p w:rsidR="00627668" w:rsidRPr="00396163" w:rsidRDefault="00627668" w:rsidP="00627668">
      <w:pPr>
        <w:spacing w:after="0" w:line="240" w:lineRule="auto"/>
        <w:jc w:val="both"/>
        <w:rPr>
          <w:rFonts w:ascii="Verdana" w:eastAsia="Times New Roman" w:hAnsi="Verdana" w:cstheme="minorHAnsi"/>
          <w:lang w:eastAsia="es-CO"/>
        </w:rPr>
      </w:pPr>
      <w:r w:rsidRPr="00396163">
        <w:rPr>
          <w:rFonts w:ascii="Verdana" w:eastAsia="Times New Roman" w:hAnsi="Verdana" w:cstheme="minorHAnsi"/>
          <w:lang w:eastAsia="es-CO"/>
        </w:rPr>
        <w:t xml:space="preserve">También se cuenta con 2 muelles de ingreso, 2 muelles de salida, </w:t>
      </w:r>
      <w:r>
        <w:rPr>
          <w:rFonts w:ascii="Verdana" w:eastAsia="Times New Roman" w:hAnsi="Verdana" w:cstheme="minorHAnsi"/>
          <w:lang w:eastAsia="es-CO"/>
        </w:rPr>
        <w:t>2</w:t>
      </w:r>
      <w:r w:rsidRPr="00396163">
        <w:rPr>
          <w:rFonts w:ascii="Verdana" w:eastAsia="Times New Roman" w:hAnsi="Verdana" w:cstheme="minorHAnsi"/>
          <w:lang w:eastAsia="es-CO"/>
        </w:rPr>
        <w:t xml:space="preserve"> montacargas, 2 </w:t>
      </w:r>
      <w:proofErr w:type="gramStart"/>
      <w:r w:rsidRPr="00396163">
        <w:rPr>
          <w:rFonts w:ascii="Verdana" w:eastAsia="Times New Roman" w:hAnsi="Verdana" w:cstheme="minorHAnsi"/>
          <w:lang w:eastAsia="es-CO"/>
        </w:rPr>
        <w:t>basculas</w:t>
      </w:r>
      <w:proofErr w:type="gramEnd"/>
      <w:r w:rsidRPr="00396163">
        <w:rPr>
          <w:rFonts w:ascii="Verdana" w:eastAsia="Times New Roman" w:hAnsi="Verdana" w:cstheme="minorHAnsi"/>
          <w:lang w:eastAsia="es-CO"/>
        </w:rPr>
        <w:t xml:space="preserve">, 1 cuarto frio, </w:t>
      </w:r>
      <w:r>
        <w:rPr>
          <w:rFonts w:ascii="Verdana" w:eastAsia="Times New Roman" w:hAnsi="Verdana" w:cstheme="minorHAnsi"/>
          <w:lang w:eastAsia="es-CO"/>
        </w:rPr>
        <w:t>dos</w:t>
      </w:r>
      <w:r w:rsidRPr="00396163">
        <w:rPr>
          <w:rFonts w:ascii="Verdana" w:eastAsia="Times New Roman" w:hAnsi="Verdana" w:cstheme="minorHAnsi"/>
          <w:lang w:eastAsia="es-CO"/>
        </w:rPr>
        <w:t xml:space="preserve"> zona de </w:t>
      </w:r>
      <w:proofErr w:type="spellStart"/>
      <w:r w:rsidRPr="00396163">
        <w:rPr>
          <w:rFonts w:ascii="Verdana" w:eastAsia="Times New Roman" w:hAnsi="Verdana" w:cstheme="minorHAnsi"/>
          <w:lang w:eastAsia="es-CO"/>
        </w:rPr>
        <w:t>picking</w:t>
      </w:r>
      <w:proofErr w:type="spellEnd"/>
      <w:r>
        <w:rPr>
          <w:rFonts w:ascii="Verdana" w:eastAsia="Times New Roman" w:hAnsi="Verdana" w:cstheme="minorHAnsi"/>
          <w:lang w:eastAsia="es-CO"/>
        </w:rPr>
        <w:t>, una de recepción carga</w:t>
      </w:r>
      <w:r w:rsidRPr="00396163">
        <w:rPr>
          <w:rFonts w:ascii="Verdana" w:eastAsia="Times New Roman" w:hAnsi="Verdana" w:cstheme="minorHAnsi"/>
          <w:lang w:eastAsia="es-CO"/>
        </w:rPr>
        <w:t xml:space="preserve"> y dos oficinas administrativas. </w:t>
      </w:r>
    </w:p>
    <w:p w:rsidR="00627668" w:rsidRDefault="00627668" w:rsidP="00627668">
      <w:pPr>
        <w:spacing w:after="0" w:line="240" w:lineRule="auto"/>
        <w:jc w:val="both"/>
        <w:rPr>
          <w:rFonts w:ascii="Verdana" w:eastAsia="Times New Roman" w:hAnsi="Verdana" w:cstheme="minorHAnsi"/>
          <w:lang w:eastAsia="es-CO"/>
        </w:rPr>
      </w:pPr>
    </w:p>
    <w:p w:rsidR="00627668" w:rsidRPr="00396163" w:rsidRDefault="00627668" w:rsidP="00627668">
      <w:pPr>
        <w:spacing w:after="0" w:line="240" w:lineRule="auto"/>
        <w:jc w:val="both"/>
        <w:rPr>
          <w:rFonts w:ascii="Verdana" w:eastAsia="Times New Roman" w:hAnsi="Verdana" w:cstheme="minorHAnsi"/>
          <w:lang w:eastAsia="es-CO"/>
        </w:rPr>
      </w:pPr>
      <w:r w:rsidRPr="00396163">
        <w:rPr>
          <w:rFonts w:ascii="Verdana" w:eastAsia="Times New Roman" w:hAnsi="Verdana" w:cstheme="minorHAnsi"/>
          <w:lang w:eastAsia="es-CO"/>
        </w:rPr>
        <w:br/>
      </w:r>
      <w:r>
        <w:rPr>
          <w:rFonts w:ascii="Verdana" w:eastAsia="Times New Roman" w:hAnsi="Verdana" w:cstheme="minorHAnsi"/>
          <w:lang w:eastAsia="es-CO"/>
        </w:rPr>
        <w:t>6</w:t>
      </w:r>
      <w:r w:rsidRPr="00396163">
        <w:rPr>
          <w:rFonts w:ascii="Verdana" w:eastAsia="Times New Roman" w:hAnsi="Verdana" w:cstheme="minorHAnsi"/>
          <w:lang w:eastAsia="es-CO"/>
        </w:rPr>
        <w:t>. La suficiencia de capital de trabajo para financiar el inventario.</w:t>
      </w:r>
    </w:p>
    <w:p w:rsidR="00627668" w:rsidRPr="00396163" w:rsidRDefault="00627668" w:rsidP="00627668">
      <w:pPr>
        <w:spacing w:after="0" w:line="240" w:lineRule="auto"/>
        <w:jc w:val="both"/>
        <w:rPr>
          <w:rFonts w:ascii="Verdana" w:eastAsia="Times New Roman" w:hAnsi="Verdana" w:cstheme="minorHAnsi"/>
          <w:lang w:eastAsia="es-CO"/>
        </w:rPr>
      </w:pPr>
    </w:p>
    <w:p w:rsidR="00627668" w:rsidRPr="00396163" w:rsidRDefault="00627668" w:rsidP="00627668">
      <w:pPr>
        <w:spacing w:line="240" w:lineRule="auto"/>
        <w:jc w:val="both"/>
        <w:rPr>
          <w:rFonts w:ascii="Verdana" w:eastAsia="Times New Roman" w:hAnsi="Verdana" w:cstheme="minorHAnsi"/>
          <w:bCs/>
          <w:lang w:eastAsia="es-CO"/>
        </w:rPr>
      </w:pPr>
      <w:r w:rsidRPr="00396163">
        <w:rPr>
          <w:rFonts w:ascii="Verdana" w:eastAsia="Times New Roman" w:hAnsi="Verdana" w:cstheme="minorHAnsi"/>
          <w:lang w:eastAsia="es-CO"/>
        </w:rPr>
        <w:t>Nuestro almacén cuenta con una capacidad financiera del inventario inicial avaluada en</w:t>
      </w:r>
      <w:r w:rsidRPr="00396163">
        <w:rPr>
          <w:rFonts w:ascii="Verdana" w:eastAsia="Times New Roman" w:hAnsi="Verdana" w:cstheme="minorHAnsi"/>
          <w:bCs/>
          <w:lang w:eastAsia="es-CO"/>
        </w:rPr>
        <w:t xml:space="preserve">  $563.154.000, costos administrativos y de mantenimiento de $103.821.810 por mes, teniendo un aprovisionamiento para los costos de 3 meses.</w:t>
      </w:r>
    </w:p>
    <w:p w:rsidR="00627668" w:rsidRDefault="00627668" w:rsidP="00627668">
      <w:pPr>
        <w:spacing w:line="240" w:lineRule="auto"/>
        <w:jc w:val="both"/>
        <w:rPr>
          <w:rFonts w:ascii="Verdana" w:eastAsia="Times New Roman" w:hAnsi="Verdana" w:cstheme="minorHAnsi"/>
          <w:bCs/>
          <w:lang w:eastAsia="es-CO"/>
        </w:rPr>
      </w:pPr>
      <w:r w:rsidRPr="00396163">
        <w:rPr>
          <w:rFonts w:ascii="Verdana" w:eastAsia="Times New Roman" w:hAnsi="Verdana" w:cstheme="minorHAnsi"/>
          <w:bCs/>
          <w:lang w:eastAsia="es-CO"/>
        </w:rPr>
        <w:t>Es decir que contamos con un capital de financiación inicial de $874.619.430.</w:t>
      </w:r>
    </w:p>
    <w:p w:rsidR="00627668" w:rsidRPr="00396163" w:rsidRDefault="00627668" w:rsidP="00627668">
      <w:pPr>
        <w:spacing w:line="240" w:lineRule="auto"/>
        <w:jc w:val="both"/>
        <w:rPr>
          <w:rFonts w:ascii="Verdana" w:eastAsia="Times New Roman" w:hAnsi="Verdana" w:cstheme="minorHAnsi"/>
          <w:bCs/>
          <w:lang w:eastAsia="es-CO"/>
        </w:rPr>
      </w:pPr>
      <w:r>
        <w:rPr>
          <w:rFonts w:ascii="Verdana" w:eastAsia="Times New Roman" w:hAnsi="Verdana" w:cstheme="minorHAnsi"/>
          <w:bCs/>
          <w:lang w:eastAsia="es-CO"/>
        </w:rPr>
        <w:t xml:space="preserve">La forma de pago que se </w:t>
      </w:r>
      <w:proofErr w:type="gramStart"/>
      <w:r>
        <w:rPr>
          <w:rFonts w:ascii="Verdana" w:eastAsia="Times New Roman" w:hAnsi="Verdana" w:cstheme="minorHAnsi"/>
          <w:bCs/>
          <w:lang w:eastAsia="es-CO"/>
        </w:rPr>
        <w:t>le</w:t>
      </w:r>
      <w:proofErr w:type="gramEnd"/>
      <w:r>
        <w:rPr>
          <w:rFonts w:ascii="Verdana" w:eastAsia="Times New Roman" w:hAnsi="Verdana" w:cstheme="minorHAnsi"/>
          <w:bCs/>
          <w:lang w:eastAsia="es-CO"/>
        </w:rPr>
        <w:t xml:space="preserve"> ofrecerá a nuestros clientes es del 30% contra orden de compra y el 70% financiado a 30 días fecha de factura.</w:t>
      </w:r>
    </w:p>
    <w:p w:rsidR="00627668" w:rsidRPr="00396163" w:rsidRDefault="00627668" w:rsidP="00627668">
      <w:pPr>
        <w:spacing w:line="240" w:lineRule="auto"/>
        <w:jc w:val="both"/>
        <w:rPr>
          <w:rFonts w:ascii="Verdana" w:eastAsia="Times New Roman" w:hAnsi="Verdana" w:cstheme="minorHAnsi"/>
          <w:bCs/>
          <w:lang w:eastAsia="es-CO"/>
        </w:rPr>
      </w:pPr>
    </w:p>
    <w:p w:rsidR="00627668" w:rsidRPr="00396163" w:rsidRDefault="00627668" w:rsidP="00627668">
      <w:pPr>
        <w:spacing w:after="0" w:line="240" w:lineRule="auto"/>
        <w:jc w:val="both"/>
        <w:rPr>
          <w:rFonts w:ascii="Verdana" w:eastAsia="Times New Roman" w:hAnsi="Verdana" w:cstheme="minorHAnsi"/>
          <w:lang w:eastAsia="es-CO"/>
        </w:rPr>
      </w:pPr>
      <w:r>
        <w:rPr>
          <w:rFonts w:ascii="Verdana" w:eastAsia="Times New Roman" w:hAnsi="Verdana" w:cstheme="minorHAnsi"/>
          <w:lang w:eastAsia="es-CO"/>
        </w:rPr>
        <w:t>7</w:t>
      </w:r>
      <w:r w:rsidRPr="00396163">
        <w:rPr>
          <w:rFonts w:ascii="Verdana" w:eastAsia="Times New Roman" w:hAnsi="Verdana" w:cstheme="minorHAnsi"/>
          <w:lang w:eastAsia="es-CO"/>
        </w:rPr>
        <w:t>. Los costos de mantener el inventario</w:t>
      </w:r>
    </w:p>
    <w:p w:rsidR="00627668" w:rsidRPr="00396163" w:rsidRDefault="00627668" w:rsidP="00627668">
      <w:pPr>
        <w:spacing w:line="240" w:lineRule="auto"/>
        <w:jc w:val="both"/>
        <w:rPr>
          <w:rFonts w:ascii="Verdana" w:eastAsia="Times New Roman" w:hAnsi="Verdana" w:cstheme="minorHAnsi"/>
          <w:bCs/>
          <w:lang w:eastAsia="es-CO"/>
        </w:rPr>
      </w:pPr>
    </w:p>
    <w:p w:rsidR="00627668" w:rsidRDefault="00627668" w:rsidP="00627668">
      <w:pPr>
        <w:spacing w:line="240" w:lineRule="auto"/>
        <w:jc w:val="both"/>
        <w:rPr>
          <w:rFonts w:ascii="Verdana" w:eastAsia="Times New Roman" w:hAnsi="Verdana" w:cstheme="minorHAnsi"/>
          <w:bCs/>
          <w:lang w:eastAsia="es-CO"/>
        </w:rPr>
      </w:pPr>
      <w:r w:rsidRPr="00396163">
        <w:rPr>
          <w:rFonts w:ascii="Verdana" w:eastAsia="Times New Roman" w:hAnsi="Verdana" w:cstheme="minorHAnsi"/>
          <w:bCs/>
          <w:lang w:eastAsia="es-CO"/>
        </w:rPr>
        <w:t>Costos administrativos y de mantenimiento de $103.821.810 por mes.</w:t>
      </w:r>
      <w:r>
        <w:rPr>
          <w:rFonts w:ascii="Verdana" w:eastAsia="Times New Roman" w:hAnsi="Verdana" w:cstheme="minorHAnsi"/>
          <w:bCs/>
          <w:lang w:eastAsia="es-CO"/>
        </w:rPr>
        <w:t xml:space="preserve"> Entre los cuales se incluyen los siguientes conceptos:</w:t>
      </w:r>
    </w:p>
    <w:p w:rsidR="00627668" w:rsidRPr="002C6E74" w:rsidRDefault="00627668" w:rsidP="00627668">
      <w:pPr>
        <w:spacing w:line="240" w:lineRule="auto"/>
        <w:jc w:val="both"/>
        <w:rPr>
          <w:rFonts w:ascii="Verdana" w:eastAsia="Times New Roman" w:hAnsi="Verdana" w:cstheme="minorHAnsi"/>
          <w:bCs/>
          <w:lang w:eastAsia="es-CO"/>
        </w:rPr>
      </w:pPr>
      <w:r w:rsidRPr="002C6E74">
        <w:rPr>
          <w:rFonts w:ascii="Verdana" w:eastAsia="Times New Roman" w:hAnsi="Verdana" w:cstheme="minorHAnsi"/>
          <w:bCs/>
          <w:lang w:eastAsia="es-CO"/>
        </w:rPr>
        <w:t>ARRIENDO</w:t>
      </w:r>
    </w:p>
    <w:p w:rsidR="00627668" w:rsidRPr="002C6E74" w:rsidRDefault="00627668" w:rsidP="00627668">
      <w:pPr>
        <w:spacing w:line="240" w:lineRule="auto"/>
        <w:jc w:val="both"/>
        <w:rPr>
          <w:rFonts w:ascii="Verdana" w:eastAsia="Times New Roman" w:hAnsi="Verdana" w:cstheme="minorHAnsi"/>
          <w:bCs/>
          <w:lang w:eastAsia="es-CO"/>
        </w:rPr>
      </w:pPr>
      <w:r w:rsidRPr="002C6E74">
        <w:rPr>
          <w:rFonts w:ascii="Verdana" w:eastAsia="Times New Roman" w:hAnsi="Verdana" w:cstheme="minorHAnsi"/>
          <w:bCs/>
          <w:lang w:eastAsia="es-CO"/>
        </w:rPr>
        <w:t>SERVICIOS</w:t>
      </w:r>
    </w:p>
    <w:p w:rsidR="00627668" w:rsidRPr="002C6E74" w:rsidRDefault="00627668" w:rsidP="00627668">
      <w:pPr>
        <w:spacing w:line="240" w:lineRule="auto"/>
        <w:jc w:val="both"/>
        <w:rPr>
          <w:rFonts w:ascii="Verdana" w:eastAsia="Times New Roman" w:hAnsi="Verdana" w:cstheme="minorHAnsi"/>
          <w:bCs/>
          <w:lang w:eastAsia="es-CO"/>
        </w:rPr>
      </w:pPr>
      <w:r w:rsidRPr="002C6E74">
        <w:rPr>
          <w:rFonts w:ascii="Verdana" w:eastAsia="Times New Roman" w:hAnsi="Verdana" w:cstheme="minorHAnsi"/>
          <w:bCs/>
          <w:lang w:eastAsia="es-CO"/>
        </w:rPr>
        <w:t>SALARIOS</w:t>
      </w:r>
    </w:p>
    <w:p w:rsidR="00627668" w:rsidRPr="002C6E74" w:rsidRDefault="00627668" w:rsidP="00627668">
      <w:pPr>
        <w:spacing w:line="240" w:lineRule="auto"/>
        <w:jc w:val="both"/>
        <w:rPr>
          <w:rFonts w:ascii="Verdana" w:eastAsia="Times New Roman" w:hAnsi="Verdana" w:cstheme="minorHAnsi"/>
          <w:bCs/>
          <w:lang w:eastAsia="es-CO"/>
        </w:rPr>
      </w:pPr>
      <w:r w:rsidRPr="002C6E74">
        <w:rPr>
          <w:rFonts w:ascii="Verdana" w:eastAsia="Times New Roman" w:hAnsi="Verdana" w:cstheme="minorHAnsi"/>
          <w:bCs/>
          <w:lang w:eastAsia="es-CO"/>
        </w:rPr>
        <w:t>COMISIONES DE VENTA 10%</w:t>
      </w:r>
    </w:p>
    <w:p w:rsidR="00627668" w:rsidRPr="002C6E74" w:rsidRDefault="00627668" w:rsidP="00627668">
      <w:pPr>
        <w:spacing w:line="240" w:lineRule="auto"/>
        <w:jc w:val="both"/>
        <w:rPr>
          <w:rFonts w:ascii="Verdana" w:eastAsia="Times New Roman" w:hAnsi="Verdana" w:cstheme="minorHAnsi"/>
          <w:bCs/>
          <w:lang w:eastAsia="es-CO"/>
        </w:rPr>
      </w:pPr>
      <w:r w:rsidRPr="002C6E74">
        <w:rPr>
          <w:rFonts w:ascii="Verdana" w:eastAsia="Times New Roman" w:hAnsi="Verdana" w:cstheme="minorHAnsi"/>
          <w:bCs/>
          <w:lang w:eastAsia="es-CO"/>
        </w:rPr>
        <w:t>PRESTACIONES</w:t>
      </w:r>
    </w:p>
    <w:p w:rsidR="00627668" w:rsidRPr="002C6E74" w:rsidRDefault="00627668" w:rsidP="00627668">
      <w:pPr>
        <w:spacing w:line="240" w:lineRule="auto"/>
        <w:jc w:val="both"/>
        <w:rPr>
          <w:rFonts w:ascii="Verdana" w:eastAsia="Times New Roman" w:hAnsi="Verdana" w:cstheme="minorHAnsi"/>
          <w:bCs/>
          <w:lang w:eastAsia="es-CO"/>
        </w:rPr>
      </w:pPr>
      <w:r w:rsidRPr="002C6E74">
        <w:rPr>
          <w:rFonts w:ascii="Verdana" w:eastAsia="Times New Roman" w:hAnsi="Verdana" w:cstheme="minorHAnsi"/>
          <w:bCs/>
          <w:lang w:eastAsia="es-CO"/>
        </w:rPr>
        <w:t>MANTENIMIENTO MONTACARGAS</w:t>
      </w:r>
    </w:p>
    <w:p w:rsidR="00627668" w:rsidRPr="002C6E74" w:rsidRDefault="00627668" w:rsidP="00627668">
      <w:pPr>
        <w:spacing w:line="240" w:lineRule="auto"/>
        <w:jc w:val="both"/>
        <w:rPr>
          <w:rFonts w:ascii="Verdana" w:eastAsia="Times New Roman" w:hAnsi="Verdana" w:cstheme="minorHAnsi"/>
          <w:bCs/>
          <w:lang w:eastAsia="es-CO"/>
        </w:rPr>
      </w:pPr>
      <w:r w:rsidRPr="002C6E74">
        <w:rPr>
          <w:rFonts w:ascii="Verdana" w:eastAsia="Times New Roman" w:hAnsi="Verdana" w:cstheme="minorHAnsi"/>
          <w:bCs/>
          <w:lang w:eastAsia="es-CO"/>
        </w:rPr>
        <w:t>MANTENIMIENTO CUARTO FRIO</w:t>
      </w:r>
    </w:p>
    <w:p w:rsidR="00627668" w:rsidRPr="002C6E74" w:rsidRDefault="00627668" w:rsidP="00627668">
      <w:pPr>
        <w:spacing w:line="240" w:lineRule="auto"/>
        <w:jc w:val="both"/>
        <w:rPr>
          <w:rFonts w:ascii="Verdana" w:eastAsia="Times New Roman" w:hAnsi="Verdana" w:cstheme="minorHAnsi"/>
          <w:bCs/>
          <w:lang w:eastAsia="es-CO"/>
        </w:rPr>
      </w:pPr>
      <w:r w:rsidRPr="002C6E74">
        <w:rPr>
          <w:rFonts w:ascii="Verdana" w:eastAsia="Times New Roman" w:hAnsi="Verdana" w:cstheme="minorHAnsi"/>
          <w:bCs/>
          <w:lang w:eastAsia="es-CO"/>
        </w:rPr>
        <w:t xml:space="preserve">MANTENIMIENTO </w:t>
      </w:r>
      <w:proofErr w:type="gramStart"/>
      <w:r w:rsidRPr="002C6E74">
        <w:rPr>
          <w:rFonts w:ascii="Verdana" w:eastAsia="Times New Roman" w:hAnsi="Verdana" w:cstheme="minorHAnsi"/>
          <w:bCs/>
          <w:lang w:eastAsia="es-CO"/>
        </w:rPr>
        <w:t>BASCULA</w:t>
      </w:r>
      <w:proofErr w:type="gramEnd"/>
    </w:p>
    <w:p w:rsidR="00627668" w:rsidRPr="002C6E74" w:rsidRDefault="00627668" w:rsidP="00627668">
      <w:pPr>
        <w:spacing w:line="240" w:lineRule="auto"/>
        <w:jc w:val="both"/>
        <w:rPr>
          <w:rFonts w:ascii="Verdana" w:eastAsia="Times New Roman" w:hAnsi="Verdana" w:cstheme="minorHAnsi"/>
          <w:bCs/>
          <w:lang w:eastAsia="es-CO"/>
        </w:rPr>
      </w:pPr>
      <w:r w:rsidRPr="002C6E74">
        <w:rPr>
          <w:rFonts w:ascii="Verdana" w:eastAsia="Times New Roman" w:hAnsi="Verdana" w:cstheme="minorHAnsi"/>
          <w:bCs/>
          <w:lang w:eastAsia="es-CO"/>
        </w:rPr>
        <w:t>PAPELERIA</w:t>
      </w:r>
    </w:p>
    <w:p w:rsidR="00627668" w:rsidRPr="002C6E74" w:rsidRDefault="00627668" w:rsidP="00627668">
      <w:pPr>
        <w:spacing w:line="240" w:lineRule="auto"/>
        <w:jc w:val="both"/>
        <w:rPr>
          <w:rFonts w:ascii="Verdana" w:eastAsia="Times New Roman" w:hAnsi="Verdana" w:cstheme="minorHAnsi"/>
          <w:bCs/>
          <w:lang w:eastAsia="es-CO"/>
        </w:rPr>
      </w:pPr>
      <w:r w:rsidRPr="002C6E74">
        <w:rPr>
          <w:rFonts w:ascii="Verdana" w:eastAsia="Times New Roman" w:hAnsi="Verdana" w:cstheme="minorHAnsi"/>
          <w:bCs/>
          <w:lang w:eastAsia="es-CO"/>
        </w:rPr>
        <w:t>ARTICULOS SERVICIOS GENERALES</w:t>
      </w:r>
    </w:p>
    <w:p w:rsidR="00627668" w:rsidRPr="00396163" w:rsidRDefault="00627668" w:rsidP="00627668">
      <w:pPr>
        <w:spacing w:line="240" w:lineRule="auto"/>
        <w:jc w:val="both"/>
        <w:rPr>
          <w:rFonts w:ascii="Verdana" w:eastAsia="Times New Roman" w:hAnsi="Verdana" w:cstheme="minorHAnsi"/>
          <w:bCs/>
          <w:lang w:eastAsia="es-CO"/>
        </w:rPr>
      </w:pPr>
      <w:r w:rsidRPr="002C6E74">
        <w:rPr>
          <w:rFonts w:ascii="Verdana" w:eastAsia="Times New Roman" w:hAnsi="Verdana" w:cstheme="minorHAnsi"/>
          <w:bCs/>
          <w:lang w:eastAsia="es-CO"/>
        </w:rPr>
        <w:t>GAS MONTACARGAS</w:t>
      </w:r>
    </w:p>
    <w:p w:rsidR="00627668" w:rsidRPr="00396163" w:rsidRDefault="00627668" w:rsidP="00627668">
      <w:pPr>
        <w:spacing w:line="240" w:lineRule="auto"/>
        <w:jc w:val="both"/>
        <w:rPr>
          <w:rFonts w:ascii="Verdana" w:hAnsi="Verdana"/>
          <w:lang w:eastAsia="es-CO"/>
        </w:rPr>
      </w:pPr>
    </w:p>
    <w:p w:rsidR="00627668" w:rsidRPr="00396163" w:rsidRDefault="00627668" w:rsidP="00627668">
      <w:pPr>
        <w:spacing w:line="240" w:lineRule="auto"/>
        <w:jc w:val="both"/>
        <w:rPr>
          <w:rFonts w:ascii="Verdana" w:hAnsi="Verdana"/>
          <w:lang w:eastAsia="es-CO"/>
        </w:rPr>
      </w:pPr>
      <w:r>
        <w:rPr>
          <w:rFonts w:ascii="Verdana" w:hAnsi="Verdana"/>
          <w:lang w:eastAsia="es-CO"/>
        </w:rPr>
        <w:t>8</w:t>
      </w:r>
      <w:r w:rsidRPr="00396163">
        <w:rPr>
          <w:rFonts w:ascii="Verdana" w:hAnsi="Verdana"/>
          <w:lang w:eastAsia="es-CO"/>
        </w:rPr>
        <w:t>.  La protección contra aumento de precios.</w:t>
      </w:r>
    </w:p>
    <w:p w:rsidR="00627668" w:rsidRDefault="00627668" w:rsidP="00627668">
      <w:pPr>
        <w:spacing w:line="240" w:lineRule="auto"/>
        <w:jc w:val="both"/>
        <w:rPr>
          <w:rFonts w:ascii="Verdana" w:hAnsi="Verdana"/>
          <w:lang w:eastAsia="es-CO"/>
        </w:rPr>
      </w:pPr>
      <w:r w:rsidRPr="00396163">
        <w:rPr>
          <w:rFonts w:ascii="Verdana" w:hAnsi="Verdana"/>
          <w:lang w:eastAsia="es-CO"/>
        </w:rPr>
        <w:t>Para mantener los precios fijos de los productos, la política de la empresa es establecer contratos de compraventa con nuestros proveedores de mínimo 6 meses y máximo un año, a fin de establecer las cantidades de copra semestral o anual al igual que un precio estable durante el tiempo de vigencia del contrato sin importar la variabilidad que tenga el mercado durante este tiempo.</w:t>
      </w:r>
    </w:p>
    <w:p w:rsidR="00627668" w:rsidRDefault="00627668" w:rsidP="00627668">
      <w:pPr>
        <w:spacing w:line="240" w:lineRule="auto"/>
        <w:jc w:val="both"/>
        <w:rPr>
          <w:rFonts w:ascii="Verdana" w:hAnsi="Verdana"/>
          <w:lang w:eastAsia="es-CO"/>
        </w:rPr>
      </w:pPr>
      <w:r>
        <w:rPr>
          <w:rFonts w:ascii="Verdana" w:hAnsi="Verdana"/>
          <w:lang w:eastAsia="es-CO"/>
        </w:rPr>
        <w:t>También se establece el 10% del valor neto del producto como amortiguación por las variables que presente el dólar dentro de los tiempos de transito y almacenamiento del producto en la bodega.</w:t>
      </w:r>
    </w:p>
    <w:p w:rsidR="00627668" w:rsidRPr="00396163" w:rsidRDefault="00627668" w:rsidP="00627668">
      <w:pPr>
        <w:spacing w:line="240" w:lineRule="auto"/>
        <w:jc w:val="both"/>
        <w:rPr>
          <w:rFonts w:ascii="Verdana" w:hAnsi="Verdana"/>
          <w:lang w:eastAsia="es-CO"/>
        </w:rPr>
      </w:pPr>
    </w:p>
    <w:p w:rsidR="00627668" w:rsidRPr="00396163" w:rsidRDefault="00627668" w:rsidP="00627668">
      <w:pPr>
        <w:spacing w:line="240" w:lineRule="auto"/>
        <w:jc w:val="both"/>
        <w:rPr>
          <w:rFonts w:ascii="Verdana" w:hAnsi="Verdana"/>
          <w:lang w:eastAsia="es-CO"/>
        </w:rPr>
      </w:pPr>
      <w:r>
        <w:rPr>
          <w:rFonts w:ascii="Verdana" w:hAnsi="Verdana"/>
          <w:lang w:eastAsia="es-CO"/>
        </w:rPr>
        <w:t>9</w:t>
      </w:r>
      <w:r w:rsidRPr="00396163">
        <w:rPr>
          <w:rFonts w:ascii="Verdana" w:hAnsi="Verdana"/>
          <w:lang w:eastAsia="es-CO"/>
        </w:rPr>
        <w:t>. Los riesgos incluidos en inventario</w:t>
      </w:r>
    </w:p>
    <w:p w:rsidR="00627668" w:rsidRPr="00396163" w:rsidRDefault="00627668" w:rsidP="00627668">
      <w:pPr>
        <w:spacing w:after="0" w:line="240" w:lineRule="auto"/>
        <w:jc w:val="both"/>
        <w:rPr>
          <w:rFonts w:ascii="Verdana" w:eastAsia="Times New Roman" w:hAnsi="Verdana" w:cs="Times New Roman"/>
          <w:lang w:eastAsia="es-CO"/>
        </w:rPr>
      </w:pPr>
      <w:r w:rsidRPr="00396163">
        <w:rPr>
          <w:rFonts w:ascii="Verdana" w:eastAsia="Times New Roman" w:hAnsi="Verdana" w:cs="Times New Roman"/>
          <w:lang w:eastAsia="es-CO"/>
        </w:rPr>
        <w:t>Algunos de lo riesgos a los que la empresa esta expuesta por la permanencia de inventario en el almacén son Bajas de precios en el mercado nacional.</w:t>
      </w:r>
    </w:p>
    <w:p w:rsidR="00627668" w:rsidRPr="00396163" w:rsidRDefault="00627668" w:rsidP="00627668">
      <w:pPr>
        <w:spacing w:after="0" w:line="240" w:lineRule="auto"/>
        <w:jc w:val="both"/>
        <w:rPr>
          <w:rFonts w:ascii="Verdana" w:eastAsia="Times New Roman" w:hAnsi="Verdana" w:cs="Times New Roman"/>
          <w:lang w:eastAsia="es-CO"/>
        </w:rPr>
      </w:pPr>
      <w:r w:rsidRPr="00396163">
        <w:rPr>
          <w:rFonts w:ascii="Verdana" w:eastAsia="Times New Roman" w:hAnsi="Verdana" w:cs="Times New Roman"/>
          <w:lang w:eastAsia="es-CO"/>
        </w:rPr>
        <w:br/>
        <w:t>También se esta expuesto a Pérdida por accidentes y robos en los trayectos internacionales y nacionales.</w:t>
      </w:r>
    </w:p>
    <w:p w:rsidR="00627668" w:rsidRPr="00396163" w:rsidRDefault="00627668" w:rsidP="00627668">
      <w:pPr>
        <w:spacing w:after="0" w:line="240" w:lineRule="auto"/>
        <w:jc w:val="both"/>
        <w:rPr>
          <w:rFonts w:ascii="Verdana" w:eastAsia="Times New Roman" w:hAnsi="Verdana" w:cs="Times New Roman"/>
          <w:lang w:eastAsia="es-CO"/>
        </w:rPr>
      </w:pPr>
    </w:p>
    <w:p w:rsidR="00627668" w:rsidRDefault="00627668" w:rsidP="00627668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es-CO"/>
        </w:rPr>
      </w:pPr>
      <w:r w:rsidRPr="00396163">
        <w:rPr>
          <w:rFonts w:ascii="Verdana" w:eastAsia="Times New Roman" w:hAnsi="Verdana" w:cs="Times New Roman"/>
          <w:lang w:eastAsia="es-CO"/>
        </w:rPr>
        <w:t>Falta de demanda de los productos en el mercado nacional.</w:t>
      </w:r>
      <w:r w:rsidRPr="00396163">
        <w:rPr>
          <w:rFonts w:ascii="Verdana" w:eastAsia="Times New Roman" w:hAnsi="Verdana" w:cs="Times New Roman"/>
          <w:sz w:val="24"/>
          <w:szCs w:val="24"/>
          <w:lang w:eastAsia="es-CO"/>
        </w:rPr>
        <w:br/>
      </w:r>
    </w:p>
    <w:p w:rsidR="00627668" w:rsidRPr="00396163" w:rsidRDefault="00627668" w:rsidP="00627668">
      <w:pPr>
        <w:spacing w:after="0" w:line="240" w:lineRule="auto"/>
        <w:jc w:val="both"/>
        <w:rPr>
          <w:rFonts w:ascii="Verdana" w:eastAsia="Times New Roman" w:hAnsi="Verdana" w:cs="Times New Roman"/>
          <w:lang w:eastAsia="es-CO"/>
        </w:rPr>
      </w:pPr>
      <w:r w:rsidRPr="00396163">
        <w:rPr>
          <w:rFonts w:ascii="Verdana" w:eastAsia="Times New Roman" w:hAnsi="Verdana" w:cs="Times New Roman"/>
          <w:lang w:eastAsia="es-CO"/>
        </w:rPr>
        <w:t>Con el fin de rebajar inventarios, algunas veces es necesario rebajar los precios y generar liquidez acompañada igualmente de rebajas drásticas en los niveles de producción y otros niveles operativos.</w:t>
      </w:r>
    </w:p>
    <w:p w:rsidR="00627668" w:rsidRPr="00396163" w:rsidRDefault="00627668" w:rsidP="00627668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es-CO"/>
        </w:rPr>
      </w:pPr>
      <w:r w:rsidRPr="00396163">
        <w:rPr>
          <w:rFonts w:ascii="Verdana" w:eastAsia="Times New Roman" w:hAnsi="Verdana" w:cs="Times New Roman"/>
          <w:sz w:val="24"/>
          <w:szCs w:val="24"/>
          <w:lang w:eastAsia="es-CO"/>
        </w:rPr>
        <w:br/>
      </w:r>
    </w:p>
    <w:p w:rsidR="00627668" w:rsidRDefault="00627668" w:rsidP="00627668">
      <w:pPr>
        <w:pStyle w:val="NormalWeb"/>
        <w:jc w:val="both"/>
        <w:rPr>
          <w:rFonts w:asciiTheme="majorHAnsi" w:hAnsiTheme="majorHAnsi" w:cs="Arial"/>
        </w:rPr>
      </w:pPr>
    </w:p>
    <w:p w:rsidR="00627668" w:rsidRDefault="00627668" w:rsidP="00627668">
      <w:pPr>
        <w:pStyle w:val="NormalWeb"/>
        <w:jc w:val="both"/>
        <w:rPr>
          <w:rFonts w:asciiTheme="majorHAnsi" w:hAnsiTheme="majorHAnsi" w:cs="Arial"/>
        </w:rPr>
      </w:pPr>
    </w:p>
    <w:p w:rsidR="00627668" w:rsidRDefault="00627668" w:rsidP="00627668">
      <w:pPr>
        <w:pStyle w:val="NormalWeb"/>
        <w:jc w:val="both"/>
        <w:rPr>
          <w:rFonts w:asciiTheme="majorHAnsi" w:hAnsiTheme="majorHAnsi" w:cs="Arial"/>
        </w:rPr>
      </w:pPr>
    </w:p>
    <w:p w:rsidR="00627668" w:rsidRDefault="00627668" w:rsidP="00627668">
      <w:pPr>
        <w:pStyle w:val="NormalWeb"/>
        <w:jc w:val="both"/>
        <w:rPr>
          <w:rFonts w:asciiTheme="majorHAnsi" w:hAnsiTheme="majorHAnsi" w:cs="Arial"/>
        </w:rPr>
      </w:pPr>
    </w:p>
    <w:p w:rsidR="00627668" w:rsidRDefault="00627668" w:rsidP="00627668">
      <w:pPr>
        <w:pStyle w:val="NormalWeb"/>
        <w:jc w:val="both"/>
        <w:rPr>
          <w:rFonts w:asciiTheme="majorHAnsi" w:hAnsiTheme="majorHAnsi" w:cs="Arial"/>
        </w:rPr>
      </w:pPr>
    </w:p>
    <w:p w:rsidR="00627668" w:rsidRDefault="00627668" w:rsidP="00627668">
      <w:pPr>
        <w:pStyle w:val="NormalWeb"/>
        <w:jc w:val="both"/>
        <w:rPr>
          <w:rFonts w:asciiTheme="majorHAnsi" w:hAnsiTheme="majorHAnsi" w:cs="Arial"/>
        </w:rPr>
      </w:pPr>
    </w:p>
    <w:p w:rsidR="00627668" w:rsidRDefault="00627668" w:rsidP="00627668">
      <w:pPr>
        <w:pStyle w:val="NormalWeb"/>
        <w:jc w:val="both"/>
        <w:rPr>
          <w:rFonts w:asciiTheme="majorHAnsi" w:hAnsiTheme="majorHAnsi" w:cs="Arial"/>
        </w:rPr>
      </w:pPr>
    </w:p>
    <w:p w:rsidR="00627668" w:rsidRDefault="00627668" w:rsidP="00627668">
      <w:pPr>
        <w:pStyle w:val="NormalWeb"/>
        <w:jc w:val="both"/>
        <w:rPr>
          <w:rFonts w:asciiTheme="majorHAnsi" w:hAnsiTheme="majorHAnsi" w:cs="Arial"/>
        </w:rPr>
      </w:pPr>
    </w:p>
    <w:p w:rsidR="00627668" w:rsidRPr="00321010" w:rsidRDefault="00627668" w:rsidP="00627668">
      <w:pPr>
        <w:pStyle w:val="NormalWeb"/>
        <w:jc w:val="both"/>
        <w:rPr>
          <w:rFonts w:ascii="Verdana" w:hAnsi="Verdana" w:cs="Arial"/>
          <w:b/>
          <w:color w:val="00B0F0"/>
          <w:sz w:val="22"/>
          <w:szCs w:val="22"/>
        </w:rPr>
      </w:pPr>
      <w:r w:rsidRPr="00321010">
        <w:rPr>
          <w:rFonts w:ascii="Verdana" w:hAnsi="Verdana" w:cs="Arial"/>
          <w:b/>
          <w:color w:val="00B0F0"/>
          <w:sz w:val="22"/>
          <w:szCs w:val="22"/>
        </w:rPr>
        <w:lastRenderedPageBreak/>
        <w:t>COMPARACION BODEGAS</w:t>
      </w:r>
    </w:p>
    <w:p w:rsidR="00627668" w:rsidRPr="00321010" w:rsidRDefault="00627668" w:rsidP="00627668">
      <w:pPr>
        <w:pStyle w:val="NormalWeb"/>
        <w:jc w:val="both"/>
        <w:rPr>
          <w:rFonts w:ascii="Verdana" w:hAnsi="Verdana" w:cs="Arial"/>
          <w:sz w:val="22"/>
          <w:szCs w:val="22"/>
        </w:rPr>
      </w:pPr>
    </w:p>
    <w:p w:rsidR="00627668" w:rsidRPr="00321010" w:rsidRDefault="00627668" w:rsidP="00627668">
      <w:pPr>
        <w:pStyle w:val="NormalWeb"/>
        <w:jc w:val="both"/>
        <w:rPr>
          <w:rFonts w:ascii="Verdana" w:hAnsi="Verdana" w:cs="Arial"/>
          <w:b/>
          <w:sz w:val="22"/>
          <w:szCs w:val="22"/>
        </w:rPr>
      </w:pPr>
    </w:p>
    <w:p w:rsidR="00627668" w:rsidRDefault="00627668" w:rsidP="00627668">
      <w:pPr>
        <w:pStyle w:val="NormalWeb"/>
        <w:numPr>
          <w:ilvl w:val="0"/>
          <w:numId w:val="1"/>
        </w:numPr>
        <w:jc w:val="both"/>
        <w:rPr>
          <w:rFonts w:ascii="Verdana" w:hAnsi="Verdana" w:cs="Arial"/>
          <w:sz w:val="22"/>
          <w:szCs w:val="22"/>
        </w:rPr>
      </w:pPr>
      <w:r w:rsidRPr="00321010">
        <w:rPr>
          <w:rFonts w:ascii="Verdana" w:hAnsi="Verdana" w:cs="Arial"/>
          <w:sz w:val="22"/>
          <w:szCs w:val="22"/>
        </w:rPr>
        <w:t>Se disminuye las dimensiones de la bodega (inicial 20.623.40 m3 vs modificada 17.218.6 m3) en 3.404.8 m3.</w:t>
      </w:r>
    </w:p>
    <w:p w:rsidR="00627668" w:rsidRPr="00321010" w:rsidRDefault="00627668" w:rsidP="00627668">
      <w:pPr>
        <w:pStyle w:val="NormalWeb"/>
        <w:ind w:left="360"/>
        <w:jc w:val="both"/>
        <w:rPr>
          <w:rFonts w:ascii="Verdana" w:hAnsi="Verdana" w:cs="Arial"/>
          <w:sz w:val="22"/>
          <w:szCs w:val="22"/>
        </w:rPr>
      </w:pPr>
    </w:p>
    <w:p w:rsidR="00627668" w:rsidRDefault="00627668" w:rsidP="00627668">
      <w:pPr>
        <w:pStyle w:val="NormalWeb"/>
        <w:numPr>
          <w:ilvl w:val="0"/>
          <w:numId w:val="1"/>
        </w:numPr>
        <w:jc w:val="both"/>
        <w:rPr>
          <w:rFonts w:ascii="Verdana" w:hAnsi="Verdana" w:cs="Arial"/>
          <w:sz w:val="22"/>
          <w:szCs w:val="22"/>
        </w:rPr>
      </w:pPr>
      <w:r w:rsidRPr="00321010">
        <w:rPr>
          <w:rFonts w:ascii="Verdana" w:hAnsi="Verdana" w:cs="Arial"/>
          <w:sz w:val="22"/>
          <w:szCs w:val="22"/>
        </w:rPr>
        <w:t>Se disminuye la capacidad de almacenamiento en cajas (inicial 7.680 cajas vs 5.763 cajas) en 1.917 cajas.</w:t>
      </w:r>
    </w:p>
    <w:p w:rsidR="00627668" w:rsidRPr="00321010" w:rsidRDefault="00627668" w:rsidP="00627668">
      <w:pPr>
        <w:pStyle w:val="NormalWeb"/>
        <w:jc w:val="both"/>
        <w:rPr>
          <w:rFonts w:ascii="Verdana" w:hAnsi="Verdana" w:cs="Arial"/>
          <w:sz w:val="22"/>
          <w:szCs w:val="22"/>
        </w:rPr>
      </w:pPr>
    </w:p>
    <w:p w:rsidR="00627668" w:rsidRDefault="00627668" w:rsidP="00627668">
      <w:pPr>
        <w:pStyle w:val="NormalWeb"/>
        <w:numPr>
          <w:ilvl w:val="0"/>
          <w:numId w:val="1"/>
        </w:numPr>
        <w:jc w:val="both"/>
        <w:rPr>
          <w:rFonts w:ascii="Verdana" w:hAnsi="Verdana" w:cs="Arial"/>
          <w:sz w:val="22"/>
          <w:szCs w:val="22"/>
        </w:rPr>
      </w:pPr>
      <w:r w:rsidRPr="00321010">
        <w:rPr>
          <w:rFonts w:ascii="Verdana" w:hAnsi="Verdana" w:cs="Arial"/>
          <w:sz w:val="22"/>
          <w:szCs w:val="22"/>
        </w:rPr>
        <w:t>Se disminuye la capacidad de almacenamiento de unidades (inicial 62.418 unidades vs 46.821 unidades) en 15.597 unidades.</w:t>
      </w:r>
    </w:p>
    <w:p w:rsidR="00627668" w:rsidRPr="00321010" w:rsidRDefault="00627668" w:rsidP="00627668">
      <w:pPr>
        <w:pStyle w:val="NormalWeb"/>
        <w:jc w:val="both"/>
        <w:rPr>
          <w:rFonts w:ascii="Verdana" w:hAnsi="Verdana" w:cs="Arial"/>
          <w:sz w:val="22"/>
          <w:szCs w:val="22"/>
        </w:rPr>
      </w:pPr>
    </w:p>
    <w:p w:rsidR="00627668" w:rsidRDefault="00627668" w:rsidP="00627668">
      <w:pPr>
        <w:pStyle w:val="NormalWeb"/>
        <w:numPr>
          <w:ilvl w:val="0"/>
          <w:numId w:val="1"/>
        </w:numPr>
        <w:jc w:val="both"/>
        <w:rPr>
          <w:rFonts w:ascii="Verdana" w:hAnsi="Verdana" w:cs="Arial"/>
          <w:sz w:val="22"/>
          <w:szCs w:val="22"/>
        </w:rPr>
      </w:pPr>
      <w:r w:rsidRPr="00321010">
        <w:rPr>
          <w:rFonts w:ascii="Verdana" w:hAnsi="Verdana" w:cs="Arial"/>
          <w:sz w:val="22"/>
          <w:szCs w:val="22"/>
        </w:rPr>
        <w:t>Se disminuye la cantidad de posiciones para almacenamiento (inicial 87posiciones vs 68 posiciones) en 19 posiciones.</w:t>
      </w:r>
    </w:p>
    <w:p w:rsidR="00627668" w:rsidRPr="00321010" w:rsidRDefault="00627668" w:rsidP="00627668">
      <w:pPr>
        <w:pStyle w:val="NormalWeb"/>
        <w:jc w:val="both"/>
        <w:rPr>
          <w:rFonts w:ascii="Verdana" w:hAnsi="Verdana" w:cs="Arial"/>
          <w:sz w:val="22"/>
          <w:szCs w:val="22"/>
        </w:rPr>
      </w:pPr>
    </w:p>
    <w:p w:rsidR="00627668" w:rsidRDefault="00627668" w:rsidP="00627668">
      <w:pPr>
        <w:pStyle w:val="NormalWeb"/>
        <w:numPr>
          <w:ilvl w:val="0"/>
          <w:numId w:val="1"/>
        </w:numPr>
        <w:jc w:val="both"/>
        <w:rPr>
          <w:rFonts w:ascii="Verdana" w:hAnsi="Verdana" w:cs="Arial"/>
          <w:sz w:val="22"/>
          <w:szCs w:val="22"/>
        </w:rPr>
      </w:pPr>
      <w:r w:rsidRPr="00321010">
        <w:rPr>
          <w:rFonts w:ascii="Verdana" w:hAnsi="Verdana" w:cs="Arial"/>
          <w:sz w:val="22"/>
          <w:szCs w:val="22"/>
        </w:rPr>
        <w:t>Se disminuye la cantidad de niveles para almacenamiento (inicial 504 niveles vs 408 niveles) en 96 niveles</w:t>
      </w:r>
      <w:r>
        <w:rPr>
          <w:rFonts w:ascii="Verdana" w:hAnsi="Verdana" w:cs="Arial"/>
          <w:sz w:val="22"/>
          <w:szCs w:val="22"/>
        </w:rPr>
        <w:t>.</w:t>
      </w:r>
    </w:p>
    <w:p w:rsidR="00627668" w:rsidRPr="00321010" w:rsidRDefault="00627668" w:rsidP="00627668">
      <w:pPr>
        <w:pStyle w:val="NormalWeb"/>
        <w:jc w:val="both"/>
        <w:rPr>
          <w:rFonts w:ascii="Verdana" w:hAnsi="Verdana" w:cs="Arial"/>
          <w:sz w:val="22"/>
          <w:szCs w:val="22"/>
        </w:rPr>
      </w:pPr>
    </w:p>
    <w:p w:rsidR="00627668" w:rsidRDefault="00627668" w:rsidP="00627668">
      <w:pPr>
        <w:pStyle w:val="NormalWeb"/>
        <w:numPr>
          <w:ilvl w:val="0"/>
          <w:numId w:val="1"/>
        </w:numPr>
        <w:jc w:val="both"/>
        <w:rPr>
          <w:rFonts w:ascii="Verdana" w:hAnsi="Verdana" w:cs="Arial"/>
          <w:sz w:val="22"/>
          <w:szCs w:val="22"/>
        </w:rPr>
      </w:pPr>
      <w:r w:rsidRPr="00321010">
        <w:rPr>
          <w:rFonts w:ascii="Verdana" w:hAnsi="Verdana" w:cs="Arial"/>
          <w:sz w:val="22"/>
          <w:szCs w:val="22"/>
        </w:rPr>
        <w:t xml:space="preserve">Se incorpora otra zona de </w:t>
      </w:r>
      <w:proofErr w:type="spellStart"/>
      <w:r w:rsidRPr="00321010">
        <w:rPr>
          <w:rFonts w:ascii="Verdana" w:hAnsi="Verdana" w:cs="Arial"/>
          <w:sz w:val="22"/>
          <w:szCs w:val="22"/>
        </w:rPr>
        <w:t>picking</w:t>
      </w:r>
      <w:proofErr w:type="spellEnd"/>
      <w:r w:rsidRPr="00321010">
        <w:rPr>
          <w:rFonts w:ascii="Verdana" w:hAnsi="Verdana" w:cs="Arial"/>
          <w:sz w:val="22"/>
          <w:szCs w:val="22"/>
        </w:rPr>
        <w:t xml:space="preserve"> y una de recepción de carga.</w:t>
      </w:r>
    </w:p>
    <w:p w:rsidR="00627668" w:rsidRPr="00321010" w:rsidRDefault="00627668" w:rsidP="00627668">
      <w:pPr>
        <w:pStyle w:val="NormalWeb"/>
        <w:jc w:val="both"/>
        <w:rPr>
          <w:rFonts w:ascii="Verdana" w:hAnsi="Verdana" w:cs="Arial"/>
          <w:sz w:val="22"/>
          <w:szCs w:val="22"/>
        </w:rPr>
      </w:pPr>
    </w:p>
    <w:p w:rsidR="00627668" w:rsidRPr="00321010" w:rsidRDefault="00627668" w:rsidP="00627668">
      <w:pPr>
        <w:pStyle w:val="NormalWeb"/>
        <w:numPr>
          <w:ilvl w:val="0"/>
          <w:numId w:val="1"/>
        </w:numPr>
        <w:jc w:val="both"/>
        <w:rPr>
          <w:rFonts w:ascii="Verdana" w:hAnsi="Verdana" w:cs="Arial"/>
          <w:sz w:val="22"/>
          <w:szCs w:val="22"/>
        </w:rPr>
      </w:pPr>
      <w:r w:rsidRPr="00321010">
        <w:rPr>
          <w:rFonts w:ascii="Verdana" w:hAnsi="Verdana" w:cs="Arial"/>
          <w:sz w:val="22"/>
          <w:szCs w:val="22"/>
        </w:rPr>
        <w:t>Se elimina la utilización de un montacargas.</w:t>
      </w:r>
    </w:p>
    <w:p w:rsidR="00627668" w:rsidRPr="00321010" w:rsidRDefault="00627668" w:rsidP="00627668">
      <w:pPr>
        <w:pStyle w:val="NormalWeb"/>
        <w:jc w:val="both"/>
        <w:rPr>
          <w:rFonts w:ascii="Verdana" w:hAnsi="Verdana" w:cs="Arial"/>
          <w:sz w:val="22"/>
          <w:szCs w:val="22"/>
        </w:rPr>
      </w:pPr>
    </w:p>
    <w:p w:rsidR="00627668" w:rsidRDefault="00627668" w:rsidP="00627668">
      <w:pPr>
        <w:pStyle w:val="NormalWeb"/>
        <w:jc w:val="both"/>
        <w:rPr>
          <w:rFonts w:asciiTheme="majorHAnsi" w:hAnsiTheme="majorHAnsi" w:cs="Arial"/>
        </w:rPr>
      </w:pPr>
    </w:p>
    <w:p w:rsidR="00627668" w:rsidRDefault="00627668" w:rsidP="00627668">
      <w:pPr>
        <w:pStyle w:val="NormalWeb"/>
        <w:jc w:val="both"/>
        <w:rPr>
          <w:rFonts w:asciiTheme="majorHAnsi" w:hAnsiTheme="majorHAnsi" w:cs="Arial"/>
        </w:rPr>
      </w:pPr>
    </w:p>
    <w:p w:rsidR="00627668" w:rsidRDefault="00627668" w:rsidP="00627668">
      <w:pPr>
        <w:pStyle w:val="NormalWeb"/>
        <w:jc w:val="both"/>
        <w:rPr>
          <w:rFonts w:asciiTheme="majorHAnsi" w:hAnsiTheme="majorHAnsi" w:cs="Arial"/>
        </w:rPr>
      </w:pPr>
    </w:p>
    <w:p w:rsidR="00627668" w:rsidRDefault="00627668" w:rsidP="00627668">
      <w:pPr>
        <w:pStyle w:val="NormalWeb"/>
        <w:jc w:val="both"/>
        <w:rPr>
          <w:rFonts w:asciiTheme="majorHAnsi" w:hAnsiTheme="majorHAnsi" w:cs="Arial"/>
        </w:rPr>
      </w:pPr>
    </w:p>
    <w:p w:rsidR="00627668" w:rsidRPr="00321010" w:rsidRDefault="00627668" w:rsidP="00627668">
      <w:pPr>
        <w:pStyle w:val="NormalWeb"/>
        <w:jc w:val="center"/>
        <w:rPr>
          <w:rFonts w:asciiTheme="majorHAnsi" w:hAnsiTheme="majorHAnsi" w:cs="Arial"/>
          <w:b/>
          <w:color w:val="00B0F0"/>
          <w:sz w:val="28"/>
          <w:szCs w:val="28"/>
        </w:rPr>
      </w:pPr>
      <w:r w:rsidRPr="00321010">
        <w:rPr>
          <w:rFonts w:asciiTheme="majorHAnsi" w:hAnsiTheme="majorHAnsi" w:cs="Arial"/>
          <w:b/>
          <w:color w:val="00B0F0"/>
          <w:sz w:val="28"/>
          <w:szCs w:val="28"/>
        </w:rPr>
        <w:lastRenderedPageBreak/>
        <w:t>BODEGA INICIAL</w:t>
      </w:r>
    </w:p>
    <w:p w:rsidR="00627668" w:rsidRDefault="00627668" w:rsidP="00627668">
      <w:pPr>
        <w:pStyle w:val="NormalWeb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-518160</wp:posOffset>
            </wp:positionH>
            <wp:positionV relativeFrom="paragraph">
              <wp:posOffset>496570</wp:posOffset>
            </wp:positionV>
            <wp:extent cx="6486525" cy="7610475"/>
            <wp:effectExtent l="0" t="0" r="9525" b="0"/>
            <wp:wrapSquare wrapText="bothSides"/>
            <wp:docPr id="5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737" t="3779" r="7940" b="40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525" cy="761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27668" w:rsidRPr="00321010" w:rsidRDefault="00627668" w:rsidP="00627668">
      <w:pPr>
        <w:pStyle w:val="NormalWeb"/>
        <w:jc w:val="center"/>
        <w:rPr>
          <w:rFonts w:asciiTheme="majorHAnsi" w:hAnsiTheme="majorHAnsi" w:cs="Arial"/>
          <w:b/>
          <w:color w:val="00B0F0"/>
          <w:sz w:val="28"/>
          <w:szCs w:val="28"/>
        </w:rPr>
      </w:pPr>
      <w:r w:rsidRPr="00321010">
        <w:rPr>
          <w:rFonts w:asciiTheme="majorHAnsi" w:hAnsiTheme="majorHAnsi" w:cs="Arial"/>
          <w:b/>
          <w:noProof/>
          <w:color w:val="00B0F0"/>
          <w:sz w:val="28"/>
          <w:szCs w:val="28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-566420</wp:posOffset>
            </wp:positionH>
            <wp:positionV relativeFrom="paragraph">
              <wp:posOffset>624205</wp:posOffset>
            </wp:positionV>
            <wp:extent cx="6712585" cy="6600825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564" t="4441" r="8096" b="46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2585" cy="660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21010">
        <w:rPr>
          <w:rFonts w:asciiTheme="majorHAnsi" w:hAnsiTheme="majorHAnsi" w:cs="Arial"/>
          <w:b/>
          <w:color w:val="00B0F0"/>
          <w:sz w:val="28"/>
          <w:szCs w:val="28"/>
        </w:rPr>
        <w:t>BODEGA MODIFICADA</w:t>
      </w:r>
    </w:p>
    <w:p w:rsidR="00627668" w:rsidRDefault="00627668" w:rsidP="00627668">
      <w:pPr>
        <w:pStyle w:val="NormalWeb"/>
        <w:jc w:val="both"/>
        <w:rPr>
          <w:rFonts w:asciiTheme="majorHAnsi" w:hAnsiTheme="majorHAnsi" w:cs="Arial"/>
        </w:rPr>
      </w:pPr>
    </w:p>
    <w:p w:rsidR="00627668" w:rsidRPr="00474372" w:rsidRDefault="00627668" w:rsidP="00627668">
      <w:pPr>
        <w:pStyle w:val="NormalWeb"/>
        <w:jc w:val="both"/>
        <w:rPr>
          <w:rFonts w:asciiTheme="majorHAnsi" w:hAnsiTheme="majorHAnsi" w:cs="Arial"/>
        </w:rPr>
      </w:pPr>
    </w:p>
    <w:p w:rsidR="00127AA2" w:rsidRDefault="00127AA2"/>
    <w:sectPr w:rsidR="00127AA2" w:rsidSect="00811D1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F272A3"/>
    <w:multiLevelType w:val="hybridMultilevel"/>
    <w:tmpl w:val="5748CFA2"/>
    <w:lvl w:ilvl="0" w:tplc="243A42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7B68E0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156D3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46436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EC0FDA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3B464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13EA1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CF2B3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9AC4E6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27668"/>
    <w:rsid w:val="00127AA2"/>
    <w:rsid w:val="00627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766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276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788</Words>
  <Characters>4336</Characters>
  <Application>Microsoft Office Word</Application>
  <DocSecurity>0</DocSecurity>
  <Lines>36</Lines>
  <Paragraphs>10</Paragraphs>
  <ScaleCrop>false</ScaleCrop>
  <Company/>
  <LinksUpToDate>false</LinksUpToDate>
  <CharactersWithSpaces>5114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1</cp:revision>
  <dcterms:created xsi:type="dcterms:W3CDTF">2011-07-27T00:03:00Z</dcterms:created>
  <dcterms:modified xsi:type="dcterms:W3CDTF">2011-07-27T00:04:00Z</dcterms:modified>
</cp:coreProperties>
</file>